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8B" w:rsidRDefault="00396D8B" w:rsidP="00396D8B">
      <w:pPr>
        <w:spacing w:after="0"/>
        <w:jc w:val="center"/>
        <w:rPr>
          <w:i/>
          <w:sz w:val="28"/>
          <w:szCs w:val="28"/>
        </w:rPr>
      </w:pPr>
      <w:r>
        <w:rPr>
          <w:i/>
          <w:sz w:val="28"/>
          <w:szCs w:val="28"/>
        </w:rPr>
        <w:t xml:space="preserve">Choosing the Right </w:t>
      </w:r>
    </w:p>
    <w:p w:rsidR="007A2F9D" w:rsidRDefault="00273579" w:rsidP="00396D8B">
      <w:pPr>
        <w:spacing w:after="0" w:line="240" w:lineRule="auto"/>
        <w:jc w:val="center"/>
        <w:rPr>
          <w:i/>
          <w:sz w:val="28"/>
          <w:szCs w:val="28"/>
        </w:rPr>
      </w:pPr>
      <w:r w:rsidRPr="00273579">
        <w:rPr>
          <w:i/>
          <w:sz w:val="28"/>
          <w:szCs w:val="28"/>
        </w:rPr>
        <w:t>Assessments for Student Growth Setting</w:t>
      </w:r>
    </w:p>
    <w:p w:rsidR="00396D8B" w:rsidRDefault="00396D8B" w:rsidP="00396D8B">
      <w:pPr>
        <w:spacing w:after="0" w:line="240" w:lineRule="auto"/>
        <w:rPr>
          <w:sz w:val="24"/>
          <w:szCs w:val="24"/>
        </w:rPr>
      </w:pPr>
    </w:p>
    <w:p w:rsidR="00273579" w:rsidRPr="00396D8B" w:rsidRDefault="00396D8B" w:rsidP="00396D8B">
      <w:pPr>
        <w:spacing w:after="0" w:line="240" w:lineRule="auto"/>
        <w:rPr>
          <w:sz w:val="24"/>
          <w:szCs w:val="24"/>
        </w:rPr>
      </w:pPr>
      <w:r w:rsidRPr="00396D8B">
        <w:rPr>
          <w:sz w:val="24"/>
          <w:szCs w:val="24"/>
        </w:rPr>
        <w:t>H</w:t>
      </w:r>
      <w:r w:rsidR="00273579" w:rsidRPr="00396D8B">
        <w:rPr>
          <w:sz w:val="24"/>
          <w:szCs w:val="24"/>
        </w:rPr>
        <w:t xml:space="preserve">aving the right assessment is </w:t>
      </w:r>
      <w:proofErr w:type="gramStart"/>
      <w:r w:rsidR="00273579" w:rsidRPr="00396D8B">
        <w:rPr>
          <w:sz w:val="24"/>
          <w:szCs w:val="24"/>
        </w:rPr>
        <w:t>key</w:t>
      </w:r>
      <w:proofErr w:type="gramEnd"/>
      <w:r w:rsidR="00273579" w:rsidRPr="00396D8B">
        <w:rPr>
          <w:sz w:val="24"/>
          <w:szCs w:val="24"/>
        </w:rPr>
        <w:t xml:space="preserve"> in identifying what skills and concepts students need to develop across the school year. </w:t>
      </w:r>
      <w:r w:rsidRPr="00396D8B">
        <w:rPr>
          <w:sz w:val="24"/>
          <w:szCs w:val="24"/>
        </w:rPr>
        <w:t>Therefore, the assessment for goal setting is no</w:t>
      </w:r>
      <w:r w:rsidR="00273579" w:rsidRPr="00396D8B">
        <w:rPr>
          <w:sz w:val="24"/>
          <w:szCs w:val="24"/>
        </w:rPr>
        <w:t xml:space="preserve">t </w:t>
      </w:r>
      <w:r w:rsidRPr="00396D8B">
        <w:rPr>
          <w:sz w:val="24"/>
          <w:szCs w:val="24"/>
        </w:rPr>
        <w:t>a unit assessment. This pre-assessment is used to determine the needs of students in a teacher’s classroom and provide baseline data for goal setting for student growth.</w:t>
      </w:r>
    </w:p>
    <w:p w:rsidR="00396D8B" w:rsidRPr="00396D8B" w:rsidRDefault="00396D8B" w:rsidP="00396D8B">
      <w:pPr>
        <w:spacing w:after="0" w:line="240" w:lineRule="auto"/>
        <w:rPr>
          <w:sz w:val="24"/>
          <w:szCs w:val="24"/>
        </w:rPr>
      </w:pPr>
      <w:bookmarkStart w:id="0" w:name="_GoBack"/>
      <w:bookmarkEnd w:id="0"/>
    </w:p>
    <w:p w:rsidR="00D65C42" w:rsidRPr="00396D8B" w:rsidRDefault="00D65C42" w:rsidP="00D65C42">
      <w:pPr>
        <w:rPr>
          <w:b/>
          <w:sz w:val="24"/>
          <w:szCs w:val="24"/>
        </w:rPr>
      </w:pPr>
      <w:r w:rsidRPr="00396D8B">
        <w:rPr>
          <w:b/>
          <w:sz w:val="24"/>
          <w:szCs w:val="24"/>
        </w:rPr>
        <w:t>What kinds of assessments work for student growth goal setting?</w:t>
      </w:r>
    </w:p>
    <w:p w:rsidR="00D65C42" w:rsidRPr="00396D8B" w:rsidRDefault="00396D8B" w:rsidP="00273579">
      <w:pPr>
        <w:rPr>
          <w:sz w:val="24"/>
          <w:szCs w:val="24"/>
        </w:rPr>
      </w:pPr>
      <w:r w:rsidRPr="00396D8B">
        <w:rPr>
          <w:sz w:val="24"/>
          <w:szCs w:val="24"/>
        </w:rPr>
        <w:t>As Kentucky field tests and pilots the student growth measure, t</w:t>
      </w:r>
      <w:r w:rsidR="00D65C42" w:rsidRPr="00396D8B">
        <w:rPr>
          <w:sz w:val="24"/>
          <w:szCs w:val="24"/>
        </w:rPr>
        <w:t>here are many assessment choices when goal setting for student growth</w:t>
      </w:r>
      <w:r w:rsidRPr="00396D8B">
        <w:rPr>
          <w:sz w:val="24"/>
          <w:szCs w:val="24"/>
        </w:rPr>
        <w:t xml:space="preserve"> (see list below)</w:t>
      </w:r>
      <w:r w:rsidR="00D65C42" w:rsidRPr="00396D8B">
        <w:rPr>
          <w:sz w:val="24"/>
          <w:szCs w:val="24"/>
        </w:rPr>
        <w:t>. Assessments may be computer generated, teacher generated, developed as a district or teacher team, or generated by regional or national organizations. All should be aligned with content standards. Products, portfolios, projects, or performances should also have descriptive rubrics for scoring student work.</w:t>
      </w:r>
      <w:r w:rsidRPr="00396D8B">
        <w:rPr>
          <w:sz w:val="24"/>
          <w:szCs w:val="24"/>
        </w:rPr>
        <w:t xml:space="preserve"> </w:t>
      </w:r>
    </w:p>
    <w:p w:rsidR="00D65C42" w:rsidRPr="00396D8B" w:rsidRDefault="00D65C42" w:rsidP="00D65C42">
      <w:pPr>
        <w:rPr>
          <w:sz w:val="24"/>
          <w:szCs w:val="24"/>
        </w:rPr>
      </w:pPr>
      <w:r w:rsidRPr="00396D8B">
        <w:rPr>
          <w:sz w:val="24"/>
          <w:szCs w:val="24"/>
        </w:rPr>
        <w:tab/>
      </w:r>
      <w:r w:rsidRPr="00396D8B">
        <w:rPr>
          <w:sz w:val="24"/>
          <w:szCs w:val="24"/>
        </w:rPr>
        <w:tab/>
        <w:t>Interim assessments</w:t>
      </w:r>
      <w:r w:rsidRPr="00396D8B">
        <w:rPr>
          <w:sz w:val="24"/>
          <w:szCs w:val="24"/>
        </w:rPr>
        <w:tab/>
      </w:r>
      <w:r w:rsidRPr="00396D8B">
        <w:rPr>
          <w:sz w:val="24"/>
          <w:szCs w:val="24"/>
        </w:rPr>
        <w:tab/>
      </w:r>
      <w:r w:rsidRPr="00396D8B">
        <w:rPr>
          <w:sz w:val="24"/>
          <w:szCs w:val="24"/>
        </w:rPr>
        <w:tab/>
        <w:t>Common assessments</w:t>
      </w:r>
    </w:p>
    <w:p w:rsidR="00D65C42" w:rsidRPr="00396D8B" w:rsidRDefault="00D65C42" w:rsidP="00D65C42">
      <w:pPr>
        <w:rPr>
          <w:sz w:val="24"/>
          <w:szCs w:val="24"/>
        </w:rPr>
      </w:pPr>
      <w:r w:rsidRPr="00396D8B">
        <w:rPr>
          <w:sz w:val="24"/>
          <w:szCs w:val="24"/>
        </w:rPr>
        <w:tab/>
      </w:r>
      <w:r w:rsidRPr="00396D8B">
        <w:rPr>
          <w:sz w:val="24"/>
          <w:szCs w:val="24"/>
        </w:rPr>
        <w:tab/>
        <w:t>District assessments</w:t>
      </w:r>
      <w:r w:rsidRPr="00396D8B">
        <w:rPr>
          <w:sz w:val="24"/>
          <w:szCs w:val="24"/>
        </w:rPr>
        <w:tab/>
      </w:r>
      <w:r w:rsidRPr="00396D8B">
        <w:rPr>
          <w:sz w:val="24"/>
          <w:szCs w:val="24"/>
        </w:rPr>
        <w:tab/>
      </w:r>
      <w:r w:rsidRPr="00396D8B">
        <w:rPr>
          <w:sz w:val="24"/>
          <w:szCs w:val="24"/>
        </w:rPr>
        <w:tab/>
        <w:t>Teacher generated assessments</w:t>
      </w:r>
    </w:p>
    <w:p w:rsidR="00D65C42" w:rsidRPr="00396D8B" w:rsidRDefault="00D65C42" w:rsidP="00D65C42">
      <w:pPr>
        <w:rPr>
          <w:sz w:val="24"/>
          <w:szCs w:val="24"/>
        </w:rPr>
      </w:pPr>
      <w:r w:rsidRPr="00396D8B">
        <w:rPr>
          <w:sz w:val="24"/>
          <w:szCs w:val="24"/>
        </w:rPr>
        <w:tab/>
      </w:r>
      <w:r w:rsidRPr="00396D8B">
        <w:rPr>
          <w:sz w:val="24"/>
          <w:szCs w:val="24"/>
        </w:rPr>
        <w:tab/>
        <w:t>Projects</w:t>
      </w:r>
      <w:r w:rsidRPr="00396D8B">
        <w:rPr>
          <w:sz w:val="24"/>
          <w:szCs w:val="24"/>
        </w:rPr>
        <w:tab/>
      </w:r>
      <w:r w:rsidRPr="00396D8B">
        <w:rPr>
          <w:sz w:val="24"/>
          <w:szCs w:val="24"/>
        </w:rPr>
        <w:tab/>
      </w:r>
      <w:r w:rsidRPr="00396D8B">
        <w:rPr>
          <w:sz w:val="24"/>
          <w:szCs w:val="24"/>
        </w:rPr>
        <w:tab/>
      </w:r>
      <w:r w:rsidRPr="00396D8B">
        <w:rPr>
          <w:sz w:val="24"/>
          <w:szCs w:val="24"/>
        </w:rPr>
        <w:tab/>
        <w:t>Performances</w:t>
      </w:r>
    </w:p>
    <w:p w:rsidR="00D65C42" w:rsidRPr="00396D8B" w:rsidRDefault="00D65C42" w:rsidP="00D65C42">
      <w:pPr>
        <w:rPr>
          <w:sz w:val="24"/>
          <w:szCs w:val="24"/>
        </w:rPr>
      </w:pPr>
      <w:r w:rsidRPr="00396D8B">
        <w:rPr>
          <w:sz w:val="24"/>
          <w:szCs w:val="24"/>
        </w:rPr>
        <w:tab/>
      </w:r>
      <w:r w:rsidRPr="00396D8B">
        <w:rPr>
          <w:sz w:val="24"/>
          <w:szCs w:val="24"/>
        </w:rPr>
        <w:tab/>
        <w:t>Student portfolios</w:t>
      </w:r>
      <w:r w:rsidRPr="00396D8B">
        <w:rPr>
          <w:sz w:val="24"/>
          <w:szCs w:val="24"/>
        </w:rPr>
        <w:tab/>
      </w:r>
      <w:r w:rsidRPr="00396D8B">
        <w:rPr>
          <w:sz w:val="24"/>
          <w:szCs w:val="24"/>
        </w:rPr>
        <w:tab/>
      </w:r>
      <w:r w:rsidRPr="00396D8B">
        <w:rPr>
          <w:sz w:val="24"/>
          <w:szCs w:val="24"/>
        </w:rPr>
        <w:tab/>
        <w:t>LDC/MDC classroom assessments</w:t>
      </w:r>
    </w:p>
    <w:p w:rsidR="00D65C42" w:rsidRPr="00396D8B" w:rsidRDefault="00D65C42" w:rsidP="00D65C42">
      <w:pPr>
        <w:rPr>
          <w:sz w:val="24"/>
          <w:szCs w:val="24"/>
        </w:rPr>
      </w:pPr>
      <w:r w:rsidRPr="00396D8B">
        <w:rPr>
          <w:sz w:val="24"/>
          <w:szCs w:val="24"/>
        </w:rPr>
        <w:tab/>
      </w:r>
      <w:r w:rsidRPr="00396D8B">
        <w:rPr>
          <w:sz w:val="24"/>
          <w:szCs w:val="24"/>
        </w:rPr>
        <w:tab/>
        <w:t>Products</w:t>
      </w:r>
    </w:p>
    <w:p w:rsidR="00273579" w:rsidRPr="00396D8B" w:rsidRDefault="00273579" w:rsidP="00273579">
      <w:pPr>
        <w:rPr>
          <w:b/>
          <w:sz w:val="24"/>
          <w:szCs w:val="24"/>
        </w:rPr>
      </w:pPr>
      <w:r w:rsidRPr="00396D8B">
        <w:rPr>
          <w:b/>
          <w:sz w:val="24"/>
          <w:szCs w:val="24"/>
        </w:rPr>
        <w:t xml:space="preserve">Assessments for student growth goal setting should . . . </w:t>
      </w:r>
    </w:p>
    <w:p w:rsidR="00273579" w:rsidRPr="00396D8B" w:rsidRDefault="00273579" w:rsidP="00273579">
      <w:pPr>
        <w:pStyle w:val="ListParagraph"/>
        <w:numPr>
          <w:ilvl w:val="0"/>
          <w:numId w:val="2"/>
        </w:numPr>
        <w:rPr>
          <w:rFonts w:asciiTheme="minorHAnsi" w:hAnsiTheme="minorHAnsi"/>
        </w:rPr>
      </w:pPr>
      <w:r w:rsidRPr="00396D8B">
        <w:rPr>
          <w:rFonts w:asciiTheme="minorHAnsi" w:hAnsiTheme="minorHAnsi"/>
        </w:rPr>
        <w:t>Have high expectations for progress toward college and career readiness</w:t>
      </w:r>
    </w:p>
    <w:p w:rsidR="00273579" w:rsidRPr="00396D8B" w:rsidRDefault="00273579" w:rsidP="00273579">
      <w:pPr>
        <w:pStyle w:val="ListParagraph"/>
        <w:numPr>
          <w:ilvl w:val="0"/>
          <w:numId w:val="2"/>
        </w:numPr>
        <w:rPr>
          <w:rFonts w:asciiTheme="minorHAnsi" w:hAnsiTheme="minorHAnsi"/>
        </w:rPr>
      </w:pPr>
      <w:r w:rsidRPr="00396D8B">
        <w:rPr>
          <w:rFonts w:asciiTheme="minorHAnsi" w:hAnsiTheme="minorHAnsi"/>
        </w:rPr>
        <w:t>Provide data toward mastery of overarching skills/concepts based on standards</w:t>
      </w:r>
    </w:p>
    <w:p w:rsidR="00273579" w:rsidRPr="00396D8B" w:rsidRDefault="00273579" w:rsidP="00273579">
      <w:pPr>
        <w:pStyle w:val="ListParagraph"/>
        <w:numPr>
          <w:ilvl w:val="0"/>
          <w:numId w:val="2"/>
        </w:numPr>
        <w:rPr>
          <w:rFonts w:asciiTheme="minorHAnsi" w:hAnsiTheme="minorHAnsi"/>
        </w:rPr>
      </w:pPr>
      <w:r w:rsidRPr="00396D8B">
        <w:rPr>
          <w:rFonts w:asciiTheme="minorHAnsi" w:hAnsiTheme="minorHAnsi"/>
        </w:rPr>
        <w:t>Provide data between two points in time (pre-/post-assessment)</w:t>
      </w:r>
      <w:r w:rsidR="00F84304" w:rsidRPr="00396D8B">
        <w:rPr>
          <w:rFonts w:asciiTheme="minorHAnsi" w:hAnsiTheme="minorHAnsi"/>
        </w:rPr>
        <w:t xml:space="preserve"> </w:t>
      </w:r>
    </w:p>
    <w:p w:rsidR="00F84304" w:rsidRPr="00396D8B" w:rsidRDefault="00F84304" w:rsidP="00273579">
      <w:pPr>
        <w:pStyle w:val="ListParagraph"/>
        <w:numPr>
          <w:ilvl w:val="0"/>
          <w:numId w:val="2"/>
        </w:numPr>
        <w:rPr>
          <w:rFonts w:asciiTheme="minorHAnsi" w:hAnsiTheme="minorHAnsi"/>
        </w:rPr>
      </w:pPr>
      <w:r w:rsidRPr="00396D8B">
        <w:rPr>
          <w:rFonts w:asciiTheme="minorHAnsi" w:hAnsiTheme="minorHAnsi"/>
        </w:rPr>
        <w:t>Provide baseline data in the pre-assessment</w:t>
      </w:r>
    </w:p>
    <w:p w:rsidR="00F84304" w:rsidRPr="00396D8B" w:rsidRDefault="00F84304" w:rsidP="00273579">
      <w:pPr>
        <w:pStyle w:val="ListParagraph"/>
        <w:numPr>
          <w:ilvl w:val="0"/>
          <w:numId w:val="2"/>
        </w:numPr>
        <w:rPr>
          <w:rFonts w:asciiTheme="minorHAnsi" w:hAnsiTheme="minorHAnsi"/>
        </w:rPr>
      </w:pPr>
      <w:r w:rsidRPr="00396D8B">
        <w:rPr>
          <w:rFonts w:asciiTheme="minorHAnsi" w:hAnsiTheme="minorHAnsi"/>
        </w:rPr>
        <w:t>Be comparable across classrooms within or across districts</w:t>
      </w:r>
      <w:r w:rsidR="00D65C42" w:rsidRPr="00396D8B">
        <w:rPr>
          <w:rFonts w:asciiTheme="minorHAnsi" w:hAnsiTheme="minorHAnsi"/>
        </w:rPr>
        <w:t xml:space="preserve"> to ensure validity</w:t>
      </w:r>
    </w:p>
    <w:p w:rsidR="00F84304" w:rsidRPr="00396D8B" w:rsidRDefault="00F84304" w:rsidP="005158AA">
      <w:pPr>
        <w:spacing w:after="0"/>
        <w:rPr>
          <w:sz w:val="24"/>
          <w:szCs w:val="24"/>
        </w:rPr>
      </w:pPr>
    </w:p>
    <w:p w:rsidR="00F84304" w:rsidRPr="00396D8B" w:rsidRDefault="00F84304" w:rsidP="005158AA">
      <w:pPr>
        <w:spacing w:after="0"/>
        <w:rPr>
          <w:b/>
          <w:sz w:val="24"/>
          <w:szCs w:val="24"/>
        </w:rPr>
      </w:pPr>
      <w:r w:rsidRPr="00396D8B">
        <w:rPr>
          <w:b/>
          <w:sz w:val="24"/>
          <w:szCs w:val="24"/>
        </w:rPr>
        <w:t>What does comparable across classrooms/districts really mean?</w:t>
      </w:r>
    </w:p>
    <w:p w:rsidR="00F84304" w:rsidRPr="00396D8B" w:rsidRDefault="00F84304" w:rsidP="00F84304">
      <w:pPr>
        <w:pStyle w:val="ListParagraph"/>
        <w:numPr>
          <w:ilvl w:val="0"/>
          <w:numId w:val="3"/>
        </w:numPr>
        <w:rPr>
          <w:rFonts w:asciiTheme="minorHAnsi" w:hAnsiTheme="minorHAnsi"/>
        </w:rPr>
      </w:pPr>
      <w:r w:rsidRPr="00396D8B">
        <w:rPr>
          <w:rFonts w:asciiTheme="minorHAnsi" w:hAnsiTheme="minorHAnsi"/>
        </w:rPr>
        <w:t>Assessments used in non-tested grades and subjects are just as rigorous as those in tested grades and subjects (</w:t>
      </w:r>
      <w:r w:rsidR="001C4B4E" w:rsidRPr="00396D8B">
        <w:rPr>
          <w:rFonts w:asciiTheme="minorHAnsi" w:hAnsiTheme="minorHAnsi"/>
        </w:rPr>
        <w:t xml:space="preserve">Example: </w:t>
      </w:r>
      <w:r w:rsidRPr="00396D8B">
        <w:rPr>
          <w:rFonts w:asciiTheme="minorHAnsi" w:hAnsiTheme="minorHAnsi"/>
        </w:rPr>
        <w:t>The social studies assessment is as rigorous and challenging in meeting standards as the</w:t>
      </w:r>
      <w:r w:rsidR="001C4B4E" w:rsidRPr="00396D8B">
        <w:rPr>
          <w:rFonts w:asciiTheme="minorHAnsi" w:hAnsiTheme="minorHAnsi"/>
        </w:rPr>
        <w:t xml:space="preserve"> state</w:t>
      </w:r>
      <w:r w:rsidRPr="00396D8B">
        <w:rPr>
          <w:rFonts w:asciiTheme="minorHAnsi" w:hAnsiTheme="minorHAnsi"/>
        </w:rPr>
        <w:t xml:space="preserve"> assessments for math or reading.)</w:t>
      </w:r>
    </w:p>
    <w:p w:rsidR="00F84304" w:rsidRPr="00396D8B" w:rsidRDefault="001C4B4E" w:rsidP="00F84304">
      <w:pPr>
        <w:pStyle w:val="ListParagraph"/>
        <w:numPr>
          <w:ilvl w:val="0"/>
          <w:numId w:val="3"/>
        </w:numPr>
        <w:rPr>
          <w:rFonts w:asciiTheme="minorHAnsi" w:hAnsiTheme="minorHAnsi"/>
        </w:rPr>
      </w:pPr>
      <w:r w:rsidRPr="00396D8B">
        <w:rPr>
          <w:rFonts w:asciiTheme="minorHAnsi" w:hAnsiTheme="minorHAnsi"/>
        </w:rPr>
        <w:t xml:space="preserve">Assessments </w:t>
      </w:r>
      <w:r w:rsidR="00EB1EED">
        <w:rPr>
          <w:rFonts w:asciiTheme="minorHAnsi" w:hAnsiTheme="minorHAnsi"/>
        </w:rPr>
        <w:t xml:space="preserve">used </w:t>
      </w:r>
      <w:r w:rsidRPr="00396D8B">
        <w:rPr>
          <w:rFonts w:asciiTheme="minorHAnsi" w:hAnsiTheme="minorHAnsi"/>
        </w:rPr>
        <w:t>are c</w:t>
      </w:r>
      <w:r w:rsidR="00F84304" w:rsidRPr="00396D8B">
        <w:rPr>
          <w:rFonts w:asciiTheme="minorHAnsi" w:hAnsiTheme="minorHAnsi"/>
        </w:rPr>
        <w:t>ollaboratively developed by teachers in the school</w:t>
      </w:r>
      <w:r w:rsidRPr="00396D8B">
        <w:rPr>
          <w:rFonts w:asciiTheme="minorHAnsi" w:hAnsiTheme="minorHAnsi"/>
        </w:rPr>
        <w:t xml:space="preserve">, </w:t>
      </w:r>
      <w:r w:rsidR="00F84304" w:rsidRPr="00396D8B">
        <w:rPr>
          <w:rFonts w:asciiTheme="minorHAnsi" w:hAnsiTheme="minorHAnsi"/>
        </w:rPr>
        <w:t>district</w:t>
      </w:r>
      <w:r w:rsidRPr="00396D8B">
        <w:rPr>
          <w:rFonts w:asciiTheme="minorHAnsi" w:hAnsiTheme="minorHAnsi"/>
        </w:rPr>
        <w:t>, or region</w:t>
      </w:r>
      <w:r w:rsidR="00F84304" w:rsidRPr="00396D8B">
        <w:rPr>
          <w:rFonts w:asciiTheme="minorHAnsi" w:hAnsiTheme="minorHAnsi"/>
        </w:rPr>
        <w:t xml:space="preserve"> (</w:t>
      </w:r>
      <w:r w:rsidRPr="00396D8B">
        <w:rPr>
          <w:rFonts w:asciiTheme="minorHAnsi" w:hAnsiTheme="minorHAnsi"/>
        </w:rPr>
        <w:t>Example: Art t</w:t>
      </w:r>
      <w:r w:rsidR="00F84304" w:rsidRPr="00396D8B">
        <w:rPr>
          <w:rFonts w:asciiTheme="minorHAnsi" w:hAnsiTheme="minorHAnsi"/>
        </w:rPr>
        <w:t>eachers</w:t>
      </w:r>
      <w:r w:rsidRPr="00396D8B">
        <w:rPr>
          <w:rFonts w:asciiTheme="minorHAnsi" w:hAnsiTheme="minorHAnsi"/>
        </w:rPr>
        <w:t xml:space="preserve"> across the region collaborate </w:t>
      </w:r>
      <w:r w:rsidR="00F84304" w:rsidRPr="00396D8B">
        <w:rPr>
          <w:rFonts w:asciiTheme="minorHAnsi" w:hAnsiTheme="minorHAnsi"/>
        </w:rPr>
        <w:t>to develop</w:t>
      </w:r>
      <w:r w:rsidRPr="00396D8B">
        <w:rPr>
          <w:rFonts w:asciiTheme="minorHAnsi" w:hAnsiTheme="minorHAnsi"/>
        </w:rPr>
        <w:t xml:space="preserve"> an art performance assessment and rubric based on standards.)</w:t>
      </w:r>
      <w:r w:rsidR="00F84304" w:rsidRPr="00396D8B">
        <w:rPr>
          <w:rFonts w:asciiTheme="minorHAnsi" w:hAnsiTheme="minorHAnsi"/>
        </w:rPr>
        <w:t xml:space="preserve"> </w:t>
      </w:r>
    </w:p>
    <w:p w:rsidR="00F84304" w:rsidRPr="00396D8B" w:rsidRDefault="00EB1EED" w:rsidP="00F84304">
      <w:pPr>
        <w:pStyle w:val="ListParagraph"/>
        <w:numPr>
          <w:ilvl w:val="0"/>
          <w:numId w:val="3"/>
        </w:numPr>
        <w:rPr>
          <w:rFonts w:asciiTheme="minorHAnsi" w:hAnsiTheme="minorHAnsi"/>
        </w:rPr>
      </w:pPr>
      <w:r>
        <w:rPr>
          <w:rFonts w:asciiTheme="minorHAnsi" w:hAnsiTheme="minorHAnsi"/>
        </w:rPr>
        <w:t>Assessments are scored with state or nationally designed r</w:t>
      </w:r>
      <w:r w:rsidR="00F84304" w:rsidRPr="00396D8B">
        <w:rPr>
          <w:rFonts w:asciiTheme="minorHAnsi" w:hAnsiTheme="minorHAnsi"/>
        </w:rPr>
        <w:t>ubrics (</w:t>
      </w:r>
      <w:r w:rsidR="001C4B4E" w:rsidRPr="00396D8B">
        <w:rPr>
          <w:rFonts w:asciiTheme="minorHAnsi" w:hAnsiTheme="minorHAnsi"/>
        </w:rPr>
        <w:t>Example: A school uses</w:t>
      </w:r>
      <w:r w:rsidR="00F84304" w:rsidRPr="00396D8B">
        <w:rPr>
          <w:rFonts w:asciiTheme="minorHAnsi" w:hAnsiTheme="minorHAnsi"/>
        </w:rPr>
        <w:t xml:space="preserve"> a LDC rubric or </w:t>
      </w:r>
      <w:r w:rsidR="001C4B4E" w:rsidRPr="00396D8B">
        <w:rPr>
          <w:rFonts w:asciiTheme="minorHAnsi" w:hAnsiTheme="minorHAnsi"/>
        </w:rPr>
        <w:t>the state writing rubric for scoring student writing assessments.)</w:t>
      </w:r>
    </w:p>
    <w:p w:rsidR="001C4B4E" w:rsidRPr="00396D8B" w:rsidRDefault="00EB1EED" w:rsidP="00F84304">
      <w:pPr>
        <w:pStyle w:val="ListParagraph"/>
        <w:numPr>
          <w:ilvl w:val="0"/>
          <w:numId w:val="3"/>
        </w:numPr>
        <w:rPr>
          <w:rFonts w:asciiTheme="minorHAnsi" w:hAnsiTheme="minorHAnsi"/>
        </w:rPr>
      </w:pPr>
      <w:r>
        <w:rPr>
          <w:rFonts w:asciiTheme="minorHAnsi" w:hAnsiTheme="minorHAnsi"/>
        </w:rPr>
        <w:t>Assessments used are c</w:t>
      </w:r>
      <w:r w:rsidR="001C4B4E" w:rsidRPr="00396D8B">
        <w:rPr>
          <w:rFonts w:asciiTheme="minorHAnsi" w:hAnsiTheme="minorHAnsi"/>
        </w:rPr>
        <w:t>omputer based assessments aligned with standards (</w:t>
      </w:r>
      <w:r w:rsidR="004B4292" w:rsidRPr="00396D8B">
        <w:rPr>
          <w:rFonts w:asciiTheme="minorHAnsi" w:hAnsiTheme="minorHAnsi"/>
        </w:rPr>
        <w:t xml:space="preserve">Example: MAP, </w:t>
      </w:r>
      <w:proofErr w:type="spellStart"/>
      <w:r w:rsidR="004B4292" w:rsidRPr="00396D8B">
        <w:rPr>
          <w:rFonts w:asciiTheme="minorHAnsi" w:hAnsiTheme="minorHAnsi"/>
        </w:rPr>
        <w:t>ThinkLink</w:t>
      </w:r>
      <w:proofErr w:type="spellEnd"/>
      <w:r w:rsidR="004B4292" w:rsidRPr="00396D8B">
        <w:rPr>
          <w:rFonts w:asciiTheme="minorHAnsi" w:hAnsiTheme="minorHAnsi"/>
        </w:rPr>
        <w:t>, DIBELS, Literacy First, and many others)</w:t>
      </w:r>
    </w:p>
    <w:sectPr w:rsidR="001C4B4E" w:rsidRPr="00396D8B" w:rsidSect="0027357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864"/>
    <w:multiLevelType w:val="hybridMultilevel"/>
    <w:tmpl w:val="5826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B63A0"/>
    <w:multiLevelType w:val="hybridMultilevel"/>
    <w:tmpl w:val="7F2E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A1D5D"/>
    <w:multiLevelType w:val="hybridMultilevel"/>
    <w:tmpl w:val="54662714"/>
    <w:lvl w:ilvl="0" w:tplc="7222DBDE">
      <w:start w:val="1"/>
      <w:numFmt w:val="bullet"/>
      <w:lvlText w:val="•"/>
      <w:lvlJc w:val="left"/>
      <w:pPr>
        <w:tabs>
          <w:tab w:val="num" w:pos="720"/>
        </w:tabs>
        <w:ind w:left="720" w:hanging="360"/>
      </w:pPr>
      <w:rPr>
        <w:rFonts w:ascii="Times New Roman" w:hAnsi="Times New Roman" w:hint="default"/>
      </w:rPr>
    </w:lvl>
    <w:lvl w:ilvl="1" w:tplc="755CEA68" w:tentative="1">
      <w:start w:val="1"/>
      <w:numFmt w:val="bullet"/>
      <w:lvlText w:val="•"/>
      <w:lvlJc w:val="left"/>
      <w:pPr>
        <w:tabs>
          <w:tab w:val="num" w:pos="1440"/>
        </w:tabs>
        <w:ind w:left="1440" w:hanging="360"/>
      </w:pPr>
      <w:rPr>
        <w:rFonts w:ascii="Times New Roman" w:hAnsi="Times New Roman" w:hint="default"/>
      </w:rPr>
    </w:lvl>
    <w:lvl w:ilvl="2" w:tplc="4A4A872E" w:tentative="1">
      <w:start w:val="1"/>
      <w:numFmt w:val="bullet"/>
      <w:lvlText w:val="•"/>
      <w:lvlJc w:val="left"/>
      <w:pPr>
        <w:tabs>
          <w:tab w:val="num" w:pos="2160"/>
        </w:tabs>
        <w:ind w:left="2160" w:hanging="360"/>
      </w:pPr>
      <w:rPr>
        <w:rFonts w:ascii="Times New Roman" w:hAnsi="Times New Roman" w:hint="default"/>
      </w:rPr>
    </w:lvl>
    <w:lvl w:ilvl="3" w:tplc="860ABECA" w:tentative="1">
      <w:start w:val="1"/>
      <w:numFmt w:val="bullet"/>
      <w:lvlText w:val="•"/>
      <w:lvlJc w:val="left"/>
      <w:pPr>
        <w:tabs>
          <w:tab w:val="num" w:pos="2880"/>
        </w:tabs>
        <w:ind w:left="2880" w:hanging="360"/>
      </w:pPr>
      <w:rPr>
        <w:rFonts w:ascii="Times New Roman" w:hAnsi="Times New Roman" w:hint="default"/>
      </w:rPr>
    </w:lvl>
    <w:lvl w:ilvl="4" w:tplc="FC9EEB94" w:tentative="1">
      <w:start w:val="1"/>
      <w:numFmt w:val="bullet"/>
      <w:lvlText w:val="•"/>
      <w:lvlJc w:val="left"/>
      <w:pPr>
        <w:tabs>
          <w:tab w:val="num" w:pos="3600"/>
        </w:tabs>
        <w:ind w:left="3600" w:hanging="360"/>
      </w:pPr>
      <w:rPr>
        <w:rFonts w:ascii="Times New Roman" w:hAnsi="Times New Roman" w:hint="default"/>
      </w:rPr>
    </w:lvl>
    <w:lvl w:ilvl="5" w:tplc="25664788" w:tentative="1">
      <w:start w:val="1"/>
      <w:numFmt w:val="bullet"/>
      <w:lvlText w:val="•"/>
      <w:lvlJc w:val="left"/>
      <w:pPr>
        <w:tabs>
          <w:tab w:val="num" w:pos="4320"/>
        </w:tabs>
        <w:ind w:left="4320" w:hanging="360"/>
      </w:pPr>
      <w:rPr>
        <w:rFonts w:ascii="Times New Roman" w:hAnsi="Times New Roman" w:hint="default"/>
      </w:rPr>
    </w:lvl>
    <w:lvl w:ilvl="6" w:tplc="A7226F66" w:tentative="1">
      <w:start w:val="1"/>
      <w:numFmt w:val="bullet"/>
      <w:lvlText w:val="•"/>
      <w:lvlJc w:val="left"/>
      <w:pPr>
        <w:tabs>
          <w:tab w:val="num" w:pos="5040"/>
        </w:tabs>
        <w:ind w:left="5040" w:hanging="360"/>
      </w:pPr>
      <w:rPr>
        <w:rFonts w:ascii="Times New Roman" w:hAnsi="Times New Roman" w:hint="default"/>
      </w:rPr>
    </w:lvl>
    <w:lvl w:ilvl="7" w:tplc="F40AB992" w:tentative="1">
      <w:start w:val="1"/>
      <w:numFmt w:val="bullet"/>
      <w:lvlText w:val="•"/>
      <w:lvlJc w:val="left"/>
      <w:pPr>
        <w:tabs>
          <w:tab w:val="num" w:pos="5760"/>
        </w:tabs>
        <w:ind w:left="5760" w:hanging="360"/>
      </w:pPr>
      <w:rPr>
        <w:rFonts w:ascii="Times New Roman" w:hAnsi="Times New Roman" w:hint="default"/>
      </w:rPr>
    </w:lvl>
    <w:lvl w:ilvl="8" w:tplc="A772584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B24469A"/>
    <w:multiLevelType w:val="hybridMultilevel"/>
    <w:tmpl w:val="6A12A2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81714"/>
    <w:multiLevelType w:val="hybridMultilevel"/>
    <w:tmpl w:val="FF16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79"/>
    <w:rsid w:val="001C4B4E"/>
    <w:rsid w:val="00273579"/>
    <w:rsid w:val="00396D8B"/>
    <w:rsid w:val="004B4292"/>
    <w:rsid w:val="005158AA"/>
    <w:rsid w:val="007A2F9D"/>
    <w:rsid w:val="00D65C42"/>
    <w:rsid w:val="00EB1EED"/>
    <w:rsid w:val="00F8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579"/>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57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7062">
      <w:bodyDiv w:val="1"/>
      <w:marLeft w:val="0"/>
      <w:marRight w:val="0"/>
      <w:marTop w:val="0"/>
      <w:marBottom w:val="0"/>
      <w:divBdr>
        <w:top w:val="none" w:sz="0" w:space="0" w:color="auto"/>
        <w:left w:val="none" w:sz="0" w:space="0" w:color="auto"/>
        <w:bottom w:val="none" w:sz="0" w:space="0" w:color="auto"/>
        <w:right w:val="none" w:sz="0" w:space="0" w:color="auto"/>
      </w:divBdr>
      <w:divsChild>
        <w:div w:id="1335840704">
          <w:marLeft w:val="547"/>
          <w:marRight w:val="0"/>
          <w:marTop w:val="0"/>
          <w:marBottom w:val="0"/>
          <w:divBdr>
            <w:top w:val="none" w:sz="0" w:space="0" w:color="auto"/>
            <w:left w:val="none" w:sz="0" w:space="0" w:color="auto"/>
            <w:bottom w:val="none" w:sz="0" w:space="0" w:color="auto"/>
            <w:right w:val="none" w:sz="0" w:space="0" w:color="auto"/>
          </w:divBdr>
        </w:div>
        <w:div w:id="17308810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Franks, Carol - Office of Next Generation Learners</dc:creator>
  <cp:lastModifiedBy>Franks, Carol - Office of Next Generation Learners</cp:lastModifiedBy>
  <cp:revision>3</cp:revision>
  <dcterms:created xsi:type="dcterms:W3CDTF">2013-01-13T10:35:00Z</dcterms:created>
  <dcterms:modified xsi:type="dcterms:W3CDTF">2013-01-13T11:31:00Z</dcterms:modified>
</cp:coreProperties>
</file>